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hint="eastAsia" w:cs="新宋体"/>
        </w:rPr>
      </w:pPr>
    </w:p>
    <w:p>
      <w:pPr>
        <w:ind w:firstLine="0" w:firstLineChars="0"/>
        <w:jc w:val="center"/>
        <w:rPr>
          <w:rFonts w:cs="新宋体"/>
          <w:b/>
          <w:sz w:val="36"/>
          <w:szCs w:val="36"/>
        </w:rPr>
      </w:pPr>
      <w:r>
        <w:rPr>
          <w:rFonts w:hint="eastAsia" w:cs="新宋体"/>
          <w:b/>
          <w:sz w:val="36"/>
          <w:szCs w:val="36"/>
        </w:rPr>
        <w:t>关于举办首届中国天然气车船发展论坛的通知</w:t>
      </w:r>
    </w:p>
    <w:p>
      <w:pPr>
        <w:ind w:firstLine="0" w:firstLineChars="0"/>
        <w:jc w:val="center"/>
        <w:rPr>
          <w:rFonts w:cs="新宋体"/>
        </w:rPr>
      </w:pPr>
    </w:p>
    <w:p>
      <w:pPr>
        <w:ind w:firstLine="0" w:firstLineChars="0"/>
        <w:rPr>
          <w:rFonts w:cs="新宋体"/>
        </w:rPr>
      </w:pPr>
      <w:r>
        <w:rPr>
          <w:rFonts w:hint="eastAsia" w:cs="新宋体"/>
        </w:rPr>
        <w:t>各有关单位：</w:t>
      </w:r>
    </w:p>
    <w:p>
      <w:pPr>
        <w:rPr>
          <w:rFonts w:cs="新宋体"/>
          <w:bCs/>
        </w:rPr>
      </w:pPr>
      <w:r>
        <w:rPr>
          <w:rFonts w:hint="eastAsia" w:cs="新宋体"/>
        </w:rPr>
        <w:t>在目前全球车船燃料清洁化、多元化发展的大潮中，天然气是公认的理想车船清洁替代燃料。我国自“十二五”以来，发展天然气车船的政策逐步清晰和强化。</w:t>
      </w:r>
      <w:r>
        <w:rPr>
          <w:rFonts w:hint="eastAsia" w:cs="新宋体"/>
          <w:bCs/>
        </w:rPr>
        <w:t>2011年国务院发布《“十二五”节能减排综合性工作方案》，要求“加快发展天然气”，实施“节约替代石油工程”</w:t>
      </w:r>
      <w:r>
        <w:rPr>
          <w:rFonts w:hint="eastAsia" w:cs="新宋体"/>
        </w:rPr>
        <w:t>；2012年国务院印发</w:t>
      </w:r>
      <w:r>
        <w:rPr>
          <w:rFonts w:hint="eastAsia" w:cs="新宋体"/>
          <w:bCs/>
        </w:rPr>
        <w:t>《节能减排“十二五”规划》，</w:t>
      </w:r>
      <w:r>
        <w:rPr>
          <w:rFonts w:hint="eastAsia" w:cs="新宋体"/>
        </w:rPr>
        <w:t>要求</w:t>
      </w:r>
      <w:r>
        <w:rPr>
          <w:rFonts w:hint="eastAsia" w:cs="新宋体"/>
          <w:bCs/>
        </w:rPr>
        <w:t>“开展交通运输节油技术改造”，鼓励以“天然气替代燃料油”。</w:t>
      </w:r>
      <w:r>
        <w:rPr>
          <w:rFonts w:hint="eastAsia" w:cs="新宋体"/>
        </w:rPr>
        <w:t>2013年交通运输部先后发布《加快推进绿色循环低碳交通运输发展指导意见》和</w:t>
      </w:r>
      <w:r>
        <w:rPr>
          <w:rFonts w:hint="eastAsia" w:cs="新宋体"/>
          <w:bCs/>
        </w:rPr>
        <w:t>《</w:t>
      </w:r>
      <w:r>
        <w:rPr>
          <w:rFonts w:hint="eastAsia" w:cs="新宋体"/>
        </w:rPr>
        <w:t>交通运输部</w:t>
      </w:r>
      <w:r>
        <w:rPr>
          <w:rFonts w:hint="eastAsia" w:cs="新宋体"/>
          <w:bCs/>
        </w:rPr>
        <w:t>关于推进水运行业应用液化天然气的指导意见》</w:t>
      </w:r>
      <w:r>
        <w:rPr>
          <w:rFonts w:hint="eastAsia" w:cs="新宋体"/>
        </w:rPr>
        <w:t>，要求“推进以天然气等清洁能源为燃料的运输装备和机械设备的应用”，</w:t>
      </w:r>
      <w:r>
        <w:rPr>
          <w:rFonts w:hint="eastAsia" w:cs="新宋体"/>
          <w:bCs/>
        </w:rPr>
        <w:t>明确提出2015年和2020年的水运行业应用液化天然气的发展目标和七项主要任务，并开展了试点示范。</w:t>
      </w:r>
      <w:r>
        <w:rPr>
          <w:rFonts w:hint="eastAsia" w:cs="新宋体"/>
          <w:bCs/>
          <w:kern w:val="0"/>
        </w:rPr>
        <w:t>2014年国务院办公厅印发</w:t>
      </w:r>
      <w:r>
        <w:rPr>
          <w:rFonts w:hint="eastAsia" w:cs="新宋体"/>
          <w:kern w:val="0"/>
        </w:rPr>
        <w:t>《能源发展战略行动计划（2014-2020年）》，要求“加快发展天然气汽车和船舶”，“积极推进清洁能源汽车和船舶产业化步伐”，</w:t>
      </w:r>
      <w:r>
        <w:rPr>
          <w:rFonts w:hint="eastAsia" w:cs="新宋体"/>
          <w:bCs/>
          <w:kern w:val="0"/>
        </w:rPr>
        <w:t>“稳步发展天然气交通运输。”</w:t>
      </w:r>
      <w:r>
        <w:rPr>
          <w:rFonts w:hint="eastAsia" w:cs="新宋体"/>
        </w:rPr>
        <w:t>2016年修订的《节约能源法》再次强调鼓励交通运输工具使用清洁燃料；同年，国务院印发《“十三五”节能减排综合工作方案》，要求“促进交通用能清洁化”，大力推广“天然气（CNG/LNG）清洁能源汽车、液化天然气动力船舶等”；发改委和能源局印发</w:t>
      </w:r>
      <w:r>
        <w:rPr>
          <w:rFonts w:hint="eastAsia" w:cs="新宋体"/>
          <w:kern w:val="0"/>
        </w:rPr>
        <w:t>《能源生产和消费革命战略（2016-2030）》和</w:t>
      </w:r>
      <w:r>
        <w:rPr>
          <w:rFonts w:hint="eastAsia" w:cs="新宋体"/>
        </w:rPr>
        <w:t>《天然气发展“十三五”规划》，要求</w:t>
      </w:r>
      <w:r>
        <w:rPr>
          <w:rFonts w:hint="eastAsia" w:cs="新宋体"/>
          <w:bCs/>
          <w:kern w:val="0"/>
        </w:rPr>
        <w:t>“</w:t>
      </w:r>
      <w:r>
        <w:rPr>
          <w:rFonts w:hint="eastAsia" w:cs="新宋体"/>
          <w:bCs/>
        </w:rPr>
        <w:t>开展交通领域气化工程，大力推进车、船用燃油领域天然气替代</w:t>
      </w:r>
      <w:r>
        <w:rPr>
          <w:rFonts w:hint="eastAsia" w:cs="新宋体"/>
          <w:bCs/>
          <w:kern w:val="0"/>
        </w:rPr>
        <w:t>”，</w:t>
      </w:r>
      <w:r>
        <w:rPr>
          <w:rFonts w:hint="eastAsia" w:cs="新宋体"/>
          <w:bCs/>
        </w:rPr>
        <w:t>“</w:t>
      </w:r>
      <w:r>
        <w:rPr>
          <w:rFonts w:hint="eastAsia" w:cs="新宋体"/>
          <w:bCs/>
          <w:kern w:val="0"/>
        </w:rPr>
        <w:t>研究制订天然气车船支持政策。积极支持天然气汽车发展”，“鼓励在内河、湖泊和沿海发展以天然气（LNG）为燃料的运输船舶。2020 年气化各类车辆约1000万辆，配套建设加气站超过1.2 万座，船用加注站超过200 座。</w:t>
      </w:r>
      <w:r>
        <w:rPr>
          <w:rFonts w:hint="eastAsia" w:cs="新宋体"/>
          <w:bCs/>
        </w:rPr>
        <w:t>”</w:t>
      </w:r>
      <w:r>
        <w:rPr>
          <w:rFonts w:hint="eastAsia" w:cs="新宋体"/>
        </w:rPr>
        <w:t>2017年6月国家发改委、科技部、工信部、交通运输部等13个部门印发《加快推进天然气利用的意见》，对“实施交通燃料升级工程，加快天然气车船发展”和</w:t>
      </w:r>
      <w:r>
        <w:rPr>
          <w:rFonts w:hint="eastAsia" w:cs="新宋体"/>
          <w:bCs/>
          <w:kern w:val="0"/>
        </w:rPr>
        <w:t>“</w:t>
      </w:r>
      <w:r>
        <w:rPr>
          <w:rFonts w:hint="eastAsia" w:cs="新宋体"/>
        </w:rPr>
        <w:t>加快加气（注）站建设</w:t>
      </w:r>
      <w:r>
        <w:rPr>
          <w:rFonts w:hint="eastAsia" w:cs="新宋体"/>
          <w:bCs/>
          <w:kern w:val="0"/>
        </w:rPr>
        <w:t>”提出了</w:t>
      </w:r>
      <w:r>
        <w:rPr>
          <w:rFonts w:hint="eastAsia" w:cs="新宋体"/>
        </w:rPr>
        <w:t>明确要求。</w:t>
      </w:r>
      <w:r>
        <w:rPr>
          <w:rFonts w:hint="eastAsia" w:cs="新宋体"/>
          <w:bCs/>
        </w:rPr>
        <w:t xml:space="preserve">截止2016年底，我国天然气汽车已经超过550万辆，加气站超过7500座；天然气动力船舶100余膄，船用气加注站达20余座。 </w:t>
      </w:r>
    </w:p>
    <w:p>
      <w:pPr>
        <w:rPr>
          <w:rFonts w:cs="新宋体"/>
        </w:rPr>
      </w:pPr>
      <w:r>
        <w:rPr>
          <w:rFonts w:hint="eastAsia" w:cs="新宋体"/>
        </w:rPr>
        <w:t>为贯彻国家发展天然气车船的政策和部署，推进天然气车船健康发展，中国交通运输协会天然气车船分会（以下简称中国交协天然气车船分会）、中国道路运输协会运输装备和安全节能工作委员会（以下简称中国道协运输装备工委）、中国汽车工业协会燃气汽车分会（以下简称中汽协会燃气汽车分会）经研究协商，定于2017年11月17-18日在北京联合举办“首届中国天然气车船发展论坛”。现将有关事项通知如下：</w:t>
      </w:r>
    </w:p>
    <w:p>
      <w:pPr>
        <w:ind w:firstLine="562"/>
        <w:rPr>
          <w:rFonts w:cs="新宋体"/>
          <w:b/>
        </w:rPr>
      </w:pPr>
      <w:r>
        <w:rPr>
          <w:rFonts w:hint="eastAsia" w:cs="新宋体"/>
          <w:b/>
        </w:rPr>
        <w:t>一、论坛主题和目标</w:t>
      </w:r>
    </w:p>
    <w:p>
      <w:pPr>
        <w:rPr>
          <w:rFonts w:cs="新宋体"/>
        </w:rPr>
      </w:pPr>
      <w:r>
        <w:rPr>
          <w:rFonts w:hint="eastAsia" w:cs="新宋体"/>
        </w:rPr>
        <w:t>本届论坛以“加快发展天然气车船，助力打好蓝天保卫战”为主题，以促进天然气汽车的应用和天然气船舶扶持政策的完善为重点，围绕</w:t>
      </w:r>
      <w:r>
        <w:rPr>
          <w:rFonts w:hint="eastAsia" w:cs="新宋体"/>
          <w:shd w:val="clear" w:color="auto" w:fill="FFFFFF"/>
        </w:rPr>
        <w:t>天然气车船发展现状、政策法规、市场前景、前沿技术、试点示范等议题</w:t>
      </w:r>
      <w:r>
        <w:rPr>
          <w:rFonts w:hint="eastAsia" w:cs="新宋体"/>
        </w:rPr>
        <w:t>进行研讨交流，推进产业链内部的沟通交流与合作、及时向政府主管部门反映企业诉求，促进天然气车船加快发展。</w:t>
      </w:r>
    </w:p>
    <w:p>
      <w:pPr>
        <w:ind w:firstLine="562"/>
        <w:rPr>
          <w:rFonts w:cs="新宋体"/>
          <w:b/>
        </w:rPr>
      </w:pPr>
      <w:r>
        <w:rPr>
          <w:rFonts w:hint="eastAsia" w:cs="新宋体"/>
          <w:b/>
        </w:rPr>
        <w:t>二、论坛组织架构</w:t>
      </w:r>
    </w:p>
    <w:p>
      <w:pPr>
        <w:rPr>
          <w:rFonts w:cs="新宋体"/>
        </w:rPr>
      </w:pPr>
      <w:r>
        <w:rPr>
          <w:rFonts w:hint="eastAsia" w:cs="新宋体"/>
        </w:rPr>
        <w:t>主办单位：中国交协天然气车船分会、中国道协运输装备工委、中汽协会燃气汽车分会、国家燃气汽车工程技术研究中心和主赞助商。</w:t>
      </w:r>
    </w:p>
    <w:p>
      <w:pPr>
        <w:rPr>
          <w:rFonts w:cs="新宋体"/>
        </w:rPr>
      </w:pPr>
      <w:r>
        <w:rPr>
          <w:rFonts w:hint="eastAsia" w:cs="新宋体"/>
        </w:rPr>
        <w:t>协办和支持单位：中石油昆仑能源有限公司、</w:t>
      </w:r>
      <w:r>
        <w:rPr>
          <w:rFonts w:hint="eastAsia" w:cs="新宋体"/>
          <w:color w:val="auto"/>
        </w:rPr>
        <w:t>中国石化销售有限公司、</w:t>
      </w:r>
      <w:r>
        <w:rPr>
          <w:rFonts w:hint="eastAsia" w:cs="新宋体"/>
        </w:rPr>
        <w:t>中海石油气电集团有限责任公司、新奥能源控股有限公司、陕西重型汽车有限公司、中国汽车工程研究院、交通运输部水运科学研究院、中集安瑞科控股有限公司、潍柴西港新能源动力有限公司、新兴能源装备股份有限公司、中国能源网、中国能源报</w:t>
      </w:r>
      <w:r>
        <w:rPr>
          <w:rFonts w:hint="eastAsia" w:cs="新宋体"/>
          <w:lang w:eastAsia="zh-CN"/>
        </w:rPr>
        <w:t>（</w:t>
      </w:r>
      <w:r>
        <w:rPr>
          <w:rFonts w:hint="eastAsia" w:cs="新宋体"/>
          <w:b/>
          <w:bCs/>
          <w:lang w:eastAsia="zh-CN"/>
        </w:rPr>
        <w:t>其他单位要求协办和支持本论坛请于</w:t>
      </w:r>
      <w:r>
        <w:rPr>
          <w:rFonts w:hint="eastAsia" w:cs="新宋体"/>
          <w:b/>
          <w:bCs/>
          <w:lang w:val="en-US" w:eastAsia="zh-CN"/>
        </w:rPr>
        <w:t>10月25日前与会务组联系</w:t>
      </w:r>
      <w:r>
        <w:rPr>
          <w:rFonts w:hint="eastAsia" w:cs="新宋体"/>
          <w:lang w:eastAsia="zh-CN"/>
        </w:rPr>
        <w:t>）</w:t>
      </w:r>
      <w:r>
        <w:rPr>
          <w:rFonts w:hint="eastAsia" w:cs="新宋体"/>
        </w:rPr>
        <w:t>。</w:t>
      </w:r>
    </w:p>
    <w:p>
      <w:pPr>
        <w:rPr>
          <w:rFonts w:hint="eastAsia" w:cs="新宋体"/>
          <w:szCs w:val="36"/>
        </w:rPr>
      </w:pPr>
      <w:r>
        <w:rPr>
          <w:rFonts w:hint="eastAsia" w:cs="新宋体"/>
        </w:rPr>
        <w:t>承办单位：</w:t>
      </w:r>
      <w:r>
        <w:rPr>
          <w:rFonts w:hint="eastAsia" w:cs="新宋体"/>
          <w:szCs w:val="36"/>
        </w:rPr>
        <w:t>北京企发展览服务有限公司、中道诚通（北京）交通运输咨询有限公司。</w:t>
      </w:r>
    </w:p>
    <w:p>
      <w:pPr>
        <w:rPr>
          <w:rFonts w:hint="eastAsia" w:cs="新宋体"/>
          <w:szCs w:val="36"/>
        </w:rPr>
      </w:pPr>
    </w:p>
    <w:p>
      <w:pPr>
        <w:rPr>
          <w:rFonts w:hint="eastAsia" w:cs="新宋体"/>
          <w:szCs w:val="36"/>
        </w:rPr>
      </w:pPr>
    </w:p>
    <w:p>
      <w:pPr>
        <w:pStyle w:val="11"/>
        <w:ind w:firstLine="562"/>
        <w:rPr>
          <w:rFonts w:cs="新宋体"/>
          <w:b/>
        </w:rPr>
      </w:pPr>
      <w:r>
        <w:rPr>
          <w:rFonts w:hint="eastAsia" w:cs="新宋体"/>
          <w:b/>
        </w:rPr>
        <w:t>三、论坛日程安排</w:t>
      </w:r>
    </w:p>
    <w:p>
      <w:pPr>
        <w:ind w:firstLine="562"/>
        <w:rPr>
          <w:rFonts w:cs="新宋体"/>
          <w:b/>
          <w:bCs/>
        </w:rPr>
      </w:pPr>
      <w:r>
        <w:rPr>
          <w:rFonts w:hint="eastAsia" w:cs="新宋体"/>
          <w:b/>
          <w:bCs/>
        </w:rPr>
        <w:t>1、时间和地点</w:t>
      </w:r>
    </w:p>
    <w:p>
      <w:pPr>
        <w:rPr>
          <w:rFonts w:cs="新宋体"/>
        </w:rPr>
      </w:pPr>
      <w:r>
        <w:rPr>
          <w:rFonts w:hint="eastAsia" w:cs="新宋体"/>
        </w:rPr>
        <w:t>2017年11月16日（星期四）全天报到；11月17日上午8:30-12:00、下午1:30-5:30、18日上午8:30-12:00，在</w:t>
      </w:r>
      <w:r>
        <w:rPr>
          <w:rFonts w:hint="eastAsia" w:cs="新宋体"/>
          <w:szCs w:val="36"/>
        </w:rPr>
        <w:t>人民日报社新媒体大厦（北京市朝阳区金台西路2号）开会。</w:t>
      </w:r>
      <w:r>
        <w:rPr>
          <w:rFonts w:hint="eastAsia" w:cs="新宋体"/>
        </w:rPr>
        <w:t xml:space="preserve"> </w:t>
      </w:r>
    </w:p>
    <w:p>
      <w:pPr>
        <w:ind w:firstLine="562"/>
        <w:rPr>
          <w:rFonts w:cs="新宋体"/>
        </w:rPr>
      </w:pPr>
      <w:r>
        <w:rPr>
          <w:rFonts w:hint="eastAsia" w:cs="新宋体"/>
          <w:b/>
        </w:rPr>
        <w:t>2、内容和日程</w:t>
      </w:r>
    </w:p>
    <w:p>
      <w:pPr>
        <w:rPr>
          <w:rFonts w:cs="新宋体"/>
        </w:rPr>
      </w:pPr>
      <w:r>
        <w:rPr>
          <w:rFonts w:hint="eastAsia" w:cs="新宋体"/>
        </w:rPr>
        <w:t>11月17日为第一阶段，全天大会，安排开幕式、主旨演讲、专题演讲和对话交流。首先围绕“天然气车船发展政策”、“车船用气保障”、“天然气汽车”和“天然气船舶”四个专题，邀请</w:t>
      </w:r>
      <w:r>
        <w:rPr>
          <w:rFonts w:hint="eastAsia" w:cs="新宋体"/>
          <w:lang w:eastAsia="zh-CN"/>
        </w:rPr>
        <w:t>国家和地方</w:t>
      </w:r>
      <w:r>
        <w:rPr>
          <w:rFonts w:hint="eastAsia" w:cs="新宋体"/>
        </w:rPr>
        <w:t>有关政府主管部门、科研和研究机构、燃气供应企业、天然气汽车、发动机和加气设施制造企业、天然气车船营运企业和行业协会等方面的领导和专家进行演讲；之后，围绕上述专题进行对话交流。18日上午为第二阶段，由中国交协天然气车船分会、中国道协运输装备工委和中汽协会燃气汽车分会，分别结合自身的业务举办活动，研究推进天然气车船相应工作的落实。会后由《论坛》主办单位汇总整理会议对发展天然气车船的主要意见和建议，上报国家有关主管部门。</w:t>
      </w:r>
    </w:p>
    <w:p>
      <w:pPr>
        <w:ind w:firstLine="562"/>
        <w:rPr>
          <w:rFonts w:cs="新宋体"/>
          <w:b/>
        </w:rPr>
      </w:pPr>
      <w:r>
        <w:rPr>
          <w:rFonts w:hint="eastAsia" w:cs="新宋体"/>
          <w:b/>
        </w:rPr>
        <w:t>3、专题演讲参考题目</w:t>
      </w:r>
    </w:p>
    <w:p>
      <w:pPr>
        <w:ind w:firstLine="562"/>
        <w:rPr>
          <w:rFonts w:cs="新宋体"/>
        </w:rPr>
      </w:pPr>
      <w:r>
        <w:rPr>
          <w:rFonts w:hint="eastAsia" w:cs="新宋体"/>
          <w:b/>
        </w:rPr>
        <w:t>（1）</w:t>
      </w:r>
      <w:r>
        <w:rPr>
          <w:rFonts w:hint="eastAsia" w:cs="新宋体"/>
        </w:rPr>
        <w:t>发展天然气车船的意义、政策和趋势；</w:t>
      </w:r>
    </w:p>
    <w:p>
      <w:pPr>
        <w:rPr>
          <w:rFonts w:cs="新宋体"/>
        </w:rPr>
      </w:pPr>
      <w:r>
        <w:rPr>
          <w:rFonts w:hint="eastAsia" w:cs="新宋体"/>
        </w:rPr>
        <w:t>（2）“十三五”天然气发展概况及车船用气保障；</w:t>
      </w:r>
    </w:p>
    <w:p>
      <w:pPr>
        <w:rPr>
          <w:rFonts w:cs="新宋体"/>
        </w:rPr>
      </w:pPr>
      <w:r>
        <w:rPr>
          <w:rFonts w:hint="eastAsia" w:cs="新宋体"/>
        </w:rPr>
        <w:t>（3）天然气车船用气的价格政策及价格变化趋势；</w:t>
      </w:r>
    </w:p>
    <w:p>
      <w:pPr>
        <w:rPr>
          <w:rFonts w:cs="新宋体"/>
        </w:rPr>
      </w:pPr>
      <w:r>
        <w:rPr>
          <w:rFonts w:hint="eastAsia" w:cs="新宋体"/>
        </w:rPr>
        <w:t>（4）车船加气（注）站发展现状、前景和建议；</w:t>
      </w:r>
    </w:p>
    <w:p>
      <w:pPr>
        <w:rPr>
          <w:rFonts w:cs="新宋体"/>
        </w:rPr>
      </w:pPr>
      <w:r>
        <w:rPr>
          <w:rFonts w:hint="eastAsia" w:cs="新宋体"/>
        </w:rPr>
        <w:t>（5）天然气汽车的优越性及其发展现状和趋势；</w:t>
      </w:r>
    </w:p>
    <w:p>
      <w:pPr>
        <w:rPr>
          <w:rFonts w:cs="新宋体"/>
          <w:bCs/>
        </w:rPr>
      </w:pPr>
      <w:r>
        <w:rPr>
          <w:rFonts w:hint="eastAsia" w:cs="新宋体"/>
          <w:bCs/>
        </w:rPr>
        <w:t>（6）大气污染防治重点地区推广LNG卡车的路径及措施；</w:t>
      </w:r>
    </w:p>
    <w:p>
      <w:pPr>
        <w:rPr>
          <w:rFonts w:cs="新宋体"/>
        </w:rPr>
      </w:pPr>
      <w:r>
        <w:rPr>
          <w:rFonts w:hint="eastAsia" w:cs="新宋体"/>
        </w:rPr>
        <w:t>（7）推进天然气汽车技术进步，降低气耗和排放；</w:t>
      </w:r>
    </w:p>
    <w:p>
      <w:pPr>
        <w:rPr>
          <w:rFonts w:cs="新宋体"/>
        </w:rPr>
      </w:pPr>
      <w:r>
        <w:rPr>
          <w:rFonts w:hint="eastAsia" w:cs="新宋体"/>
        </w:rPr>
        <w:t>（8）提高CNG汽车压力限值的意义和途径；</w:t>
      </w:r>
    </w:p>
    <w:p>
      <w:pPr>
        <w:rPr>
          <w:rFonts w:cs="新宋体"/>
        </w:rPr>
      </w:pPr>
      <w:r>
        <w:rPr>
          <w:rFonts w:hint="eastAsia" w:cs="新宋体"/>
        </w:rPr>
        <w:t>（9）天然气船舶的安全性能、环保优势及其发展现状和前景；</w:t>
      </w:r>
    </w:p>
    <w:p>
      <w:pPr>
        <w:rPr>
          <w:rFonts w:cs="新宋体"/>
        </w:rPr>
      </w:pPr>
      <w:r>
        <w:rPr>
          <w:rFonts w:hint="eastAsia" w:cs="新宋体"/>
        </w:rPr>
        <w:t>（10）对发展天然气船舶扶持政策的现状、经验和建议；</w:t>
      </w:r>
    </w:p>
    <w:p>
      <w:pPr>
        <w:rPr>
          <w:rFonts w:cs="新宋体"/>
        </w:rPr>
      </w:pPr>
      <w:r>
        <w:rPr>
          <w:rFonts w:hint="eastAsia" w:cs="新宋体"/>
        </w:rPr>
        <w:t>（11）国家立项进行天然气船舶专项研究的重要意义和建议；</w:t>
      </w:r>
    </w:p>
    <w:p>
      <w:pPr>
        <w:rPr>
          <w:rFonts w:cs="新宋体"/>
        </w:rPr>
      </w:pPr>
      <w:r>
        <w:rPr>
          <w:rFonts w:hint="eastAsia" w:cs="新宋体"/>
        </w:rPr>
        <w:t>（12）在国家物流大通道建设LNG车船绿色示范线的探讨。</w:t>
      </w:r>
    </w:p>
    <w:p>
      <w:pPr>
        <w:ind w:firstLine="562"/>
        <w:rPr>
          <w:rFonts w:cs="新宋体"/>
          <w:b/>
        </w:rPr>
      </w:pPr>
      <w:r>
        <w:rPr>
          <w:rFonts w:hint="eastAsia" w:cs="新宋体"/>
          <w:b/>
        </w:rPr>
        <w:t>四、参会事宜</w:t>
      </w:r>
    </w:p>
    <w:p>
      <w:pPr>
        <w:ind w:firstLine="562"/>
        <w:rPr>
          <w:rFonts w:cs="新宋体"/>
          <w:b/>
        </w:rPr>
      </w:pPr>
      <w:r>
        <w:rPr>
          <w:rFonts w:hint="eastAsia" w:cs="新宋体"/>
          <w:b/>
        </w:rPr>
        <w:t>1、参会范围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新宋体" w:hAnsi="新宋体" w:eastAsia="新宋体" w:cs="新宋体"/>
          <w:color w:val="auto"/>
        </w:rPr>
      </w:pPr>
      <w:r>
        <w:rPr>
          <w:rFonts w:hint="eastAsia" w:ascii="新宋体" w:hAnsi="新宋体" w:eastAsia="新宋体" w:cs="新宋体"/>
          <w:color w:val="auto"/>
        </w:rPr>
        <w:t>行业协会全体会员单位，并邀请以下单位和专家参会：（1）全国和地方燃气公司等燃气供应企业；（2）天然气汽车（包括卡车、客车、乘用车、各类专用车）、发动机、加气站、气瓶和天然气船舶及零部件制造企业；（3）各地公路客货运输企业、公交企业、出租车公司和航运公司、沿海及内河港口等天然气车船用户单位：（4）国家和地方政府有关主管部门：（5）行业专家和学者、有关行业协会、科研设计和相关主流媒体单位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新宋体" w:hAnsi="新宋体" w:eastAsia="新宋体" w:cs="新宋体"/>
          <w:color w:val="auto"/>
        </w:rPr>
      </w:pPr>
      <w:r>
        <w:rPr>
          <w:rFonts w:hint="eastAsia" w:ascii="新宋体" w:hAnsi="新宋体" w:eastAsia="新宋体" w:cs="新宋体"/>
          <w:color w:val="auto"/>
        </w:rPr>
        <w:t>2、会议经费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新宋体" w:hAnsi="新宋体" w:eastAsia="新宋体" w:cs="新宋体"/>
          <w:color w:val="auto"/>
        </w:rPr>
      </w:pPr>
      <w:r>
        <w:rPr>
          <w:rFonts w:hint="eastAsia" w:ascii="新宋体" w:hAnsi="新宋体" w:eastAsia="新宋体" w:cs="新宋体"/>
          <w:color w:val="auto"/>
        </w:rPr>
        <w:t>《论坛》坚持行业协会为企业和政府“双向服务”的宗旨，不以盈利为目的，通过“收取会务费＋企业赞助”筹措所需经费。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新宋体" w:hAnsi="新宋体" w:eastAsia="新宋体" w:cs="新宋体"/>
          <w:color w:val="auto"/>
        </w:rPr>
      </w:pPr>
      <w:r>
        <w:rPr>
          <w:rFonts w:hint="eastAsia" w:ascii="新宋体" w:hAnsi="新宋体" w:eastAsia="新宋体" w:cs="新宋体"/>
          <w:color w:val="auto"/>
        </w:rPr>
        <w:t>会务费：会员单位2000元/人、非会员单位2200元/人。会务费主要用于租用会场、宣传报道、会议资料和参会代表会议期间餐费等，参会人员交通和住宿费自理。在10月25日前报名参会并缴纳会务费的，会员单位减为1800元/人、非会员单位减为2000元/人。地方有关行业政府主管部门参会代表会务费免收，行业协会、科研院所参会代表会务费减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新宋体" w:hAnsi="新宋体" w:eastAsia="新宋体" w:cs="新宋体"/>
          <w:color w:val="auto"/>
        </w:rPr>
      </w:pPr>
      <w:r>
        <w:rPr>
          <w:rFonts w:hint="eastAsia" w:ascii="新宋体" w:hAnsi="新宋体" w:eastAsia="新宋体" w:cs="新宋体"/>
          <w:color w:val="auto"/>
        </w:rPr>
        <w:t>赞助办法：主赞助单位（1个）列为《论坛》主办单位，其余赞助单位列为《论坛》协办和支持单位。对赞助企业通过在会议背景板列名、在会议资料汇编登宣传广告、发放单位宣传资料、减免会务费等方式给与回报（具体事项与赞助单位协商确定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新宋体" w:hAnsi="新宋体" w:eastAsia="新宋体" w:cs="新宋体"/>
          <w:color w:val="auto"/>
        </w:rPr>
      </w:pPr>
      <w:r>
        <w:rPr>
          <w:rFonts w:hint="eastAsia" w:ascii="新宋体" w:hAnsi="新宋体" w:eastAsia="新宋体" w:cs="新宋体"/>
          <w:color w:val="auto"/>
        </w:rPr>
        <w:t>会务费和赞助费收款单位：北京企发展览服务有限公司，收款账号：1100 1028 9000 5300 4597，开户：建设银行北京远洋支行。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新宋体" w:hAnsi="新宋体" w:eastAsia="新宋体" w:cs="新宋体"/>
          <w:color w:val="auto"/>
        </w:rPr>
      </w:pPr>
      <w:r>
        <w:rPr>
          <w:rFonts w:hint="eastAsia" w:ascii="新宋体" w:hAnsi="新宋体" w:eastAsia="新宋体" w:cs="新宋体"/>
          <w:color w:val="auto"/>
        </w:rPr>
        <w:t>3、报名时间：鉴于酒店预定需提前缴纳定金，请参加《论坛》的单位和专家，于2017年10月</w:t>
      </w:r>
      <w:bookmarkStart w:id="0" w:name="_GoBack"/>
      <w:r>
        <w:rPr>
          <w:rFonts w:hint="eastAsia" w:ascii="新宋体" w:hAnsi="新宋体" w:eastAsia="新宋体" w:cs="新宋体"/>
          <w:color w:val="auto"/>
        </w:rPr>
        <w:t>25日前填写参会报</w:t>
      </w:r>
      <w:bookmarkEnd w:id="0"/>
      <w:r>
        <w:rPr>
          <w:rFonts w:hint="eastAsia" w:ascii="新宋体" w:hAnsi="新宋体" w:eastAsia="新宋体" w:cs="新宋体"/>
          <w:color w:val="auto"/>
        </w:rPr>
        <w:t>名回执表（见附件1），通过电子邮件报名参会。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516" w:firstLineChars="200"/>
        <w:jc w:val="both"/>
        <w:textAlignment w:val="auto"/>
        <w:outlineLvl w:val="9"/>
        <w:rPr>
          <w:rFonts w:hint="eastAsia" w:ascii="新宋体" w:hAnsi="新宋体" w:eastAsia="新宋体" w:cs="新宋体"/>
          <w:color w:val="auto"/>
        </w:rPr>
      </w:pPr>
      <w:r>
        <w:rPr>
          <w:rFonts w:hint="eastAsia" w:ascii="新宋体" w:hAnsi="新宋体" w:eastAsia="新宋体" w:cs="新宋体"/>
          <w:color w:val="auto"/>
          <w:spacing w:val="-11"/>
        </w:rPr>
        <w:t>4、食宿安排：参会住宿安排在人民日报社附近的朝阳宾馆（三星）、假日花园酒店（准四星）和北京伯豪瑞庭酒店（五星），参会代表可酌情预定酒店（房价均为会议住宿优惠价，酒店详细信息见附件2）。</w:t>
      </w:r>
    </w:p>
    <w:p>
      <w:pPr>
        <w:pStyle w:val="11"/>
        <w:ind w:firstLine="560"/>
        <w:rPr>
          <w:rFonts w:cs="新宋体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1"/>
        <w:spacing w:line="240" w:lineRule="auto"/>
        <w:ind w:firstLine="560"/>
        <w:rPr>
          <w:rFonts w:hint="eastAsia" w:eastAsia="新宋体" w:cs="新宋体"/>
          <w:lang w:eastAsia="zh-CN"/>
        </w:rPr>
      </w:pPr>
      <w:r>
        <w:rPr>
          <w:rFonts w:hint="eastAsia" w:eastAsia="新宋体" w:cs="新宋体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-636270</wp:posOffset>
            </wp:positionV>
            <wp:extent cx="6870700" cy="9655175"/>
            <wp:effectExtent l="0" t="0" r="6350" b="3175"/>
            <wp:wrapNone/>
            <wp:docPr id="5" name="图片 5" descr="盖章页17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盖章页171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65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</w:pPr>
    </w:p>
    <w:p>
      <w:pPr>
        <w:pStyle w:val="11"/>
        <w:ind w:firstLine="560"/>
        <w:rPr>
          <w:rFonts w:cs="新宋体"/>
        </w:rPr>
        <w:sectPr>
          <w:footerReference r:id="rId9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1"/>
        <w:ind w:firstLine="560"/>
        <w:rPr>
          <w:rFonts w:cs="新宋体"/>
        </w:rPr>
      </w:pPr>
      <w:r>
        <w:rPr>
          <w:rFonts w:hint="eastAsia" w:cs="新宋体"/>
        </w:rPr>
        <w:t>附件1</w:t>
      </w:r>
    </w:p>
    <w:p>
      <w:pPr>
        <w:pStyle w:val="11"/>
        <w:ind w:firstLine="643"/>
        <w:jc w:val="center"/>
        <w:rPr>
          <w:rFonts w:cs="新宋体"/>
          <w:b/>
          <w:sz w:val="32"/>
          <w:szCs w:val="32"/>
        </w:rPr>
      </w:pPr>
      <w:r>
        <w:rPr>
          <w:rFonts w:hint="eastAsia" w:cs="新宋体"/>
          <w:b/>
          <w:sz w:val="32"/>
          <w:szCs w:val="32"/>
        </w:rPr>
        <w:t>首届天然气车船发展论坛参会回执表</w:t>
      </w:r>
    </w:p>
    <w:p>
      <w:pPr>
        <w:ind w:firstLine="480"/>
        <w:jc w:val="left"/>
        <w:rPr>
          <w:rFonts w:cs="新宋体"/>
          <w:bCs/>
          <w:kern w:val="0"/>
          <w:sz w:val="24"/>
          <w:szCs w:val="24"/>
        </w:rPr>
      </w:pPr>
      <w:r>
        <w:rPr>
          <w:rFonts w:hint="eastAsia" w:cs="新宋体"/>
          <w:bCs/>
          <w:kern w:val="0"/>
          <w:sz w:val="24"/>
          <w:szCs w:val="24"/>
        </w:rPr>
        <w:t>填表日期：2017年</w:t>
      </w:r>
      <w:r>
        <w:rPr>
          <w:rFonts w:hint="eastAsia" w:cs="新宋体"/>
          <w:bCs/>
          <w:kern w:val="0"/>
          <w:sz w:val="24"/>
          <w:szCs w:val="24"/>
          <w:lang w:val="en-US" w:eastAsia="zh-CN"/>
        </w:rPr>
        <w:t xml:space="preserve">   </w:t>
      </w:r>
      <w:r>
        <w:rPr>
          <w:rFonts w:hint="eastAsia" w:cs="新宋体"/>
          <w:bCs/>
          <w:kern w:val="0"/>
          <w:sz w:val="24"/>
          <w:szCs w:val="24"/>
        </w:rPr>
        <w:t>月   日</w:t>
      </w:r>
    </w:p>
    <w:tbl>
      <w:tblPr>
        <w:tblStyle w:val="9"/>
        <w:tblW w:w="8896" w:type="dxa"/>
        <w:jc w:val="center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8"/>
        <w:gridCol w:w="970"/>
        <w:gridCol w:w="1605"/>
        <w:gridCol w:w="1730"/>
        <w:gridCol w:w="1620"/>
        <w:gridCol w:w="158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38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firstLine="0" w:firstLineChars="0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单位名称</w:t>
            </w:r>
          </w:p>
          <w:p>
            <w:pPr>
              <w:spacing w:line="240" w:lineRule="auto"/>
              <w:ind w:firstLine="0" w:firstLineChars="0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(公章)</w:t>
            </w:r>
          </w:p>
        </w:tc>
        <w:tc>
          <w:tcPr>
            <w:tcW w:w="7508" w:type="dxa"/>
            <w:gridSpan w:val="5"/>
            <w:tcBorders>
              <w:top w:val="single" w:color="auto" w:sz="6" w:space="0"/>
              <w:left w:val="nil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388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0" w:firstLineChars="0"/>
              <w:jc w:val="center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地 址</w:t>
            </w:r>
          </w:p>
        </w:tc>
        <w:tc>
          <w:tcPr>
            <w:tcW w:w="430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0" w:firstLineChars="0"/>
              <w:jc w:val="center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邮 编</w:t>
            </w:r>
          </w:p>
        </w:tc>
        <w:tc>
          <w:tcPr>
            <w:tcW w:w="15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388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0" w:firstLineChars="0"/>
              <w:jc w:val="left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参会人员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0" w:firstLineChars="0"/>
              <w:jc w:val="center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姓名</w:t>
            </w: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职务</w:t>
            </w:r>
          </w:p>
        </w:tc>
        <w:tc>
          <w:tcPr>
            <w:tcW w:w="17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0" w:firstLineChars="0"/>
              <w:jc w:val="center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手 机</w:t>
            </w:r>
          </w:p>
        </w:tc>
        <w:tc>
          <w:tcPr>
            <w:tcW w:w="16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0" w:firstLineChars="0"/>
              <w:jc w:val="center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座 机</w:t>
            </w:r>
          </w:p>
        </w:tc>
        <w:tc>
          <w:tcPr>
            <w:tcW w:w="15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邮 箱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1388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1388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388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388" w:type="dxa"/>
            <w:vMerge w:val="continue"/>
            <w:tcBorders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560" w:lineRule="exact"/>
              <w:ind w:firstLine="480"/>
              <w:jc w:val="center"/>
              <w:rPr>
                <w:rFonts w:cs="新宋体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  <w:jc w:val="center"/>
        </w:trPr>
        <w:tc>
          <w:tcPr>
            <w:tcW w:w="1388" w:type="dxa"/>
            <w:tcBorders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560" w:lineRule="exact"/>
              <w:ind w:left="0" w:leftChars="0" w:firstLine="0" w:firstLineChars="0"/>
              <w:jc w:val="left"/>
              <w:rPr>
                <w:rFonts w:hint="eastAsia" w:eastAsia="新宋体" w:cs="新宋体"/>
                <w:sz w:val="24"/>
                <w:szCs w:val="24"/>
                <w:lang w:eastAsia="zh-CN"/>
              </w:rPr>
            </w:pPr>
            <w:r>
              <w:rPr>
                <w:rFonts w:hint="eastAsia" w:cs="新宋体"/>
                <w:sz w:val="24"/>
                <w:szCs w:val="24"/>
                <w:lang w:eastAsia="zh-CN"/>
              </w:rPr>
              <w:t>参会费用</w:t>
            </w:r>
          </w:p>
        </w:tc>
        <w:tc>
          <w:tcPr>
            <w:tcW w:w="750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560" w:lineRule="exact"/>
              <w:ind w:left="0" w:leftChars="0" w:firstLine="0" w:firstLineChars="0"/>
              <w:jc w:val="both"/>
              <w:rPr>
                <w:rFonts w:hint="eastAsia" w:eastAsia="新宋体" w:cs="新宋体"/>
                <w:sz w:val="24"/>
                <w:szCs w:val="24"/>
                <w:lang w:eastAsia="zh-CN"/>
              </w:rPr>
            </w:pPr>
            <w:r>
              <w:rPr>
                <w:rFonts w:hint="eastAsia" w:cs="新宋体"/>
                <w:sz w:val="24"/>
                <w:szCs w:val="24"/>
                <w:lang w:eastAsia="zh-CN"/>
              </w:rPr>
              <w:t>大写：</w:t>
            </w:r>
            <w:r>
              <w:rPr>
                <w:rFonts w:hint="eastAsia" w:cs="新宋体"/>
                <w:sz w:val="24"/>
                <w:szCs w:val="24"/>
                <w:lang w:val="en-US" w:eastAsia="zh-CN"/>
              </w:rPr>
              <w:t xml:space="preserve">                        小写：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  <w:jc w:val="center"/>
        </w:trPr>
        <w:tc>
          <w:tcPr>
            <w:tcW w:w="1388" w:type="dxa"/>
            <w:tcBorders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560" w:lineRule="exact"/>
              <w:ind w:left="0" w:leftChars="0" w:firstLine="0" w:firstLineChars="0"/>
              <w:jc w:val="left"/>
              <w:rPr>
                <w:rFonts w:hint="eastAsia" w:cs="新宋体"/>
                <w:sz w:val="24"/>
                <w:szCs w:val="24"/>
                <w:lang w:eastAsia="zh-CN"/>
              </w:rPr>
            </w:pPr>
          </w:p>
          <w:p>
            <w:pPr>
              <w:spacing w:line="560" w:lineRule="exact"/>
              <w:ind w:left="0" w:leftChars="0" w:firstLine="0" w:firstLineChars="0"/>
              <w:jc w:val="left"/>
              <w:rPr>
                <w:rFonts w:hint="eastAsia" w:cs="新宋体"/>
                <w:sz w:val="24"/>
                <w:szCs w:val="24"/>
                <w:lang w:eastAsia="zh-CN"/>
              </w:rPr>
            </w:pPr>
            <w:r>
              <w:rPr>
                <w:rFonts w:hint="eastAsia" w:cs="新宋体"/>
                <w:sz w:val="24"/>
                <w:szCs w:val="24"/>
                <w:lang w:eastAsia="zh-CN"/>
              </w:rPr>
              <w:t>付款信息</w:t>
            </w:r>
          </w:p>
        </w:tc>
        <w:tc>
          <w:tcPr>
            <w:tcW w:w="750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cs="新宋体"/>
                <w:sz w:val="24"/>
                <w:szCs w:val="24"/>
                <w:lang w:eastAsia="zh-CN"/>
              </w:rPr>
            </w:pPr>
            <w:r>
              <w:rPr>
                <w:rFonts w:hint="eastAsia" w:cs="新宋体"/>
                <w:sz w:val="24"/>
                <w:szCs w:val="24"/>
                <w:lang w:eastAsia="zh-CN"/>
              </w:rPr>
              <w:t>户名：北京企发展览服务有限公司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cs="新宋体"/>
                <w:sz w:val="24"/>
                <w:szCs w:val="24"/>
                <w:lang w:eastAsia="zh-CN"/>
              </w:rPr>
            </w:pPr>
            <w:r>
              <w:rPr>
                <w:rFonts w:hint="eastAsia" w:cs="新宋体"/>
                <w:sz w:val="24"/>
                <w:szCs w:val="24"/>
                <w:lang w:eastAsia="zh-CN"/>
              </w:rPr>
              <w:t>账号：1100 1028 9000 5300 4597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cs="新宋体"/>
                <w:sz w:val="24"/>
                <w:szCs w:val="24"/>
                <w:lang w:eastAsia="zh-CN"/>
              </w:rPr>
            </w:pPr>
            <w:r>
              <w:rPr>
                <w:rFonts w:hint="eastAsia" w:cs="新宋体"/>
                <w:sz w:val="24"/>
                <w:szCs w:val="24"/>
                <w:lang w:eastAsia="zh-CN"/>
              </w:rPr>
              <w:t>银行：建设银行北京远洋支行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1388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0" w:firstLineChars="0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联系人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0" w:firstLineChars="0"/>
              <w:jc w:val="center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姓名</w:t>
            </w: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0" w:firstLineChars="0"/>
              <w:jc w:val="center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职务</w:t>
            </w:r>
          </w:p>
        </w:tc>
        <w:tc>
          <w:tcPr>
            <w:tcW w:w="17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0" w:firstLineChars="0"/>
              <w:jc w:val="center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手 机</w:t>
            </w:r>
          </w:p>
        </w:tc>
        <w:tc>
          <w:tcPr>
            <w:tcW w:w="16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0" w:firstLineChars="0"/>
              <w:jc w:val="center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座机</w:t>
            </w:r>
          </w:p>
        </w:tc>
        <w:tc>
          <w:tcPr>
            <w:tcW w:w="15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560" w:lineRule="exact"/>
              <w:ind w:firstLine="480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邮 箱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1388" w:type="dxa"/>
            <w:vMerge w:val="continue"/>
            <w:tcBorders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rPr>
                <w:rFonts w:cs="新宋体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rPr>
                <w:rFonts w:cs="新宋体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rPr>
                <w:rFonts w:cs="新宋体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rPr>
                <w:rFonts w:cs="新宋体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80"/>
              <w:rPr>
                <w:rFonts w:cs="新宋体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560" w:lineRule="exact"/>
              <w:ind w:firstLine="480"/>
              <w:rPr>
                <w:rFonts w:cs="新宋体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8" w:hRule="atLeast"/>
          <w:jc w:val="center"/>
        </w:trPr>
        <w:tc>
          <w:tcPr>
            <w:tcW w:w="1388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预定酒店</w:t>
            </w:r>
          </w:p>
        </w:tc>
        <w:tc>
          <w:tcPr>
            <w:tcW w:w="43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酒店名称</w:t>
            </w:r>
          </w:p>
        </w:tc>
        <w:tc>
          <w:tcPr>
            <w:tcW w:w="32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酒店</w:t>
            </w:r>
            <w:r>
              <w:rPr>
                <w:rFonts w:hint="eastAsia" w:cs="新宋体"/>
                <w:sz w:val="24"/>
                <w:szCs w:val="24"/>
                <w:lang w:eastAsia="zh-CN"/>
              </w:rPr>
              <w:t>（费用前台自付）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8" w:hRule="atLeast"/>
          <w:jc w:val="center"/>
        </w:trPr>
        <w:tc>
          <w:tcPr>
            <w:tcW w:w="1388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rPr>
                <w:rFonts w:cs="新宋体"/>
                <w:sz w:val="24"/>
                <w:szCs w:val="24"/>
              </w:rPr>
            </w:pPr>
          </w:p>
        </w:tc>
        <w:tc>
          <w:tcPr>
            <w:tcW w:w="43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朝阳宾馆（三星）</w:t>
            </w:r>
          </w:p>
        </w:tc>
        <w:tc>
          <w:tcPr>
            <w:tcW w:w="32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ind w:firstLine="0" w:firstLineChars="0"/>
              <w:rPr>
                <w:rFonts w:cs="新宋体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8" w:hRule="atLeast"/>
          <w:jc w:val="center"/>
        </w:trPr>
        <w:tc>
          <w:tcPr>
            <w:tcW w:w="1388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ind w:firstLine="480"/>
              <w:rPr>
                <w:rFonts w:cs="新宋体"/>
                <w:sz w:val="24"/>
                <w:szCs w:val="24"/>
              </w:rPr>
            </w:pPr>
          </w:p>
        </w:tc>
        <w:tc>
          <w:tcPr>
            <w:tcW w:w="43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假日花园酒店（准四星）</w:t>
            </w:r>
          </w:p>
        </w:tc>
        <w:tc>
          <w:tcPr>
            <w:tcW w:w="32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ind w:firstLine="480"/>
              <w:rPr>
                <w:rFonts w:cs="新宋体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8" w:hRule="atLeast"/>
          <w:jc w:val="center"/>
        </w:trPr>
        <w:tc>
          <w:tcPr>
            <w:tcW w:w="1388" w:type="dxa"/>
            <w:vMerge w:val="continue"/>
            <w:tcBorders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  <w:rPr>
                <w:rFonts w:cs="新宋体"/>
                <w:sz w:val="24"/>
                <w:szCs w:val="24"/>
              </w:rPr>
            </w:pPr>
          </w:p>
        </w:tc>
        <w:tc>
          <w:tcPr>
            <w:tcW w:w="43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firstLine="0" w:firstLineChars="0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北京伯豪瑞庭酒店（五星）</w:t>
            </w:r>
          </w:p>
        </w:tc>
        <w:tc>
          <w:tcPr>
            <w:tcW w:w="32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ind w:firstLine="480"/>
              <w:rPr>
                <w:rFonts w:cs="新宋体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81" w:hRule="atLeast"/>
          <w:jc w:val="center"/>
        </w:trPr>
        <w:tc>
          <w:tcPr>
            <w:tcW w:w="1388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firstLine="0" w:firstLineChars="0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 xml:space="preserve">备注 </w:t>
            </w:r>
          </w:p>
          <w:p>
            <w:pPr>
              <w:spacing w:line="240" w:lineRule="auto"/>
              <w:ind w:firstLine="0" w:firstLineChars="0"/>
              <w:rPr>
                <w:rFonts w:cs="新宋体"/>
                <w:sz w:val="24"/>
                <w:szCs w:val="24"/>
              </w:rPr>
            </w:pPr>
          </w:p>
        </w:tc>
        <w:tc>
          <w:tcPr>
            <w:tcW w:w="750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40" w:lineRule="auto"/>
              <w:ind w:firstLine="0" w:firstLineChars="0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1、如确认参加会议，请填写本回执表并加盖公章后尽快传真至会务组，并于3日内将相关款项汇入指定账号。</w:t>
            </w:r>
          </w:p>
          <w:p>
            <w:pPr>
              <w:spacing w:line="240" w:lineRule="auto"/>
              <w:ind w:firstLine="0" w:firstLineChars="0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2、预定房间请注明酒店、房间标准、数量、住宿天数；住宿费用由参会者自己到酒店前台结算。</w:t>
            </w:r>
          </w:p>
          <w:p>
            <w:pPr>
              <w:spacing w:line="240" w:lineRule="auto"/>
              <w:ind w:firstLine="0" w:firstLineChars="0"/>
              <w:rPr>
                <w:rFonts w:cs="新宋体"/>
                <w:sz w:val="24"/>
                <w:szCs w:val="24"/>
              </w:rPr>
            </w:pPr>
            <w:r>
              <w:rPr>
                <w:rFonts w:hint="eastAsia" w:cs="新宋体"/>
                <w:sz w:val="24"/>
                <w:szCs w:val="24"/>
              </w:rPr>
              <w:t>3、联系人：（1）毛亚南 手机13601028562 座机和传真010-85863866 ；邮箱：</w:t>
            </w:r>
            <w:r>
              <w:fldChar w:fldCharType="begin"/>
            </w:r>
            <w:r>
              <w:instrText xml:space="preserve"> HYPERLINK "mailto:ngv2018@163.com;（2）罗建" </w:instrText>
            </w:r>
            <w:r>
              <w:fldChar w:fldCharType="separate"/>
            </w:r>
            <w:r>
              <w:rPr>
                <w:rStyle w:val="8"/>
                <w:rFonts w:hint="eastAsia" w:cs="新宋体"/>
                <w:color w:val="auto"/>
                <w:sz w:val="24"/>
                <w:szCs w:val="24"/>
                <w:u w:val="none"/>
              </w:rPr>
              <w:t>ngv2018@163.com;（2）罗建</w:t>
            </w:r>
            <w:r>
              <w:rPr>
                <w:rStyle w:val="8"/>
                <w:rFonts w:hint="eastAsia" w:cs="新宋体"/>
                <w:color w:val="auto"/>
                <w:sz w:val="24"/>
                <w:szCs w:val="24"/>
                <w:u w:val="none"/>
              </w:rPr>
              <w:fldChar w:fldCharType="end"/>
            </w:r>
            <w:r>
              <w:rPr>
                <w:rFonts w:hint="eastAsia" w:cs="新宋体"/>
                <w:sz w:val="24"/>
                <w:szCs w:val="24"/>
              </w:rPr>
              <w:t xml:space="preserve"> 手机13683386368，座机和传真、邮箱同上。</w:t>
            </w:r>
          </w:p>
        </w:tc>
      </w:tr>
    </w:tbl>
    <w:p>
      <w:pPr>
        <w:pStyle w:val="11"/>
        <w:ind w:firstLine="560"/>
        <w:rPr>
          <w:rFonts w:cs="新宋体"/>
        </w:rPr>
      </w:pPr>
      <w:r>
        <w:rPr>
          <w:rFonts w:hint="eastAsia" w:cs="新宋体"/>
        </w:rPr>
        <w:t>附件2</w:t>
      </w:r>
    </w:p>
    <w:p>
      <w:pPr>
        <w:ind w:firstLine="643"/>
        <w:jc w:val="center"/>
        <w:rPr>
          <w:rFonts w:cs="新宋体"/>
          <w:b/>
          <w:bCs/>
          <w:sz w:val="32"/>
          <w:szCs w:val="32"/>
        </w:rPr>
      </w:pPr>
    </w:p>
    <w:p>
      <w:pPr>
        <w:ind w:firstLine="643"/>
        <w:jc w:val="center"/>
        <w:rPr>
          <w:rFonts w:cs="新宋体"/>
          <w:sz w:val="32"/>
          <w:szCs w:val="32"/>
        </w:rPr>
      </w:pPr>
      <w:r>
        <w:rPr>
          <w:rFonts w:hint="eastAsia" w:cs="新宋体"/>
          <w:b/>
          <w:bCs/>
          <w:sz w:val="32"/>
          <w:szCs w:val="32"/>
        </w:rPr>
        <w:t>首届中国天然气车船发展论坛会场和食宿信息</w:t>
      </w:r>
    </w:p>
    <w:p>
      <w:pPr>
        <w:ind w:firstLine="0" w:firstLineChars="0"/>
        <w:rPr>
          <w:rFonts w:cs="新宋体"/>
          <w:b/>
          <w:szCs w:val="36"/>
        </w:rPr>
      </w:pPr>
    </w:p>
    <w:p>
      <w:pPr>
        <w:ind w:firstLine="0" w:firstLineChars="0"/>
        <w:rPr>
          <w:rFonts w:cs="新宋体"/>
          <w:b/>
          <w:szCs w:val="36"/>
        </w:rPr>
      </w:pPr>
      <w:r>
        <w:rPr>
          <w:rFonts w:hint="eastAsia" w:cs="新宋体"/>
          <w:b/>
          <w:szCs w:val="36"/>
        </w:rPr>
        <w:t>一、论坛会场</w:t>
      </w:r>
    </w:p>
    <w:p>
      <w:pPr>
        <w:rPr>
          <w:rFonts w:cs="新宋体"/>
          <w:szCs w:val="36"/>
        </w:rPr>
      </w:pPr>
      <w:r>
        <w:rPr>
          <w:rFonts w:hint="eastAsia" w:cs="新宋体"/>
          <w:szCs w:val="36"/>
        </w:rPr>
        <w:t>会场在人民日报社新媒体大厦15层大会议室；地址：朝阳区金台西路2号。会议报到时间：外地参会代表2017年11月16日在各入住宾馆报到注册；北京地区不住酒店的参会代表11月17日早晨7:50-8:20在主会场凭会议通知报到注册。</w:t>
      </w:r>
    </w:p>
    <w:p>
      <w:pPr>
        <w:ind w:firstLine="0" w:firstLineChars="0"/>
        <w:rPr>
          <w:rFonts w:cs="新宋体"/>
          <w:b/>
          <w:bCs/>
          <w:szCs w:val="36"/>
        </w:rPr>
      </w:pPr>
      <w:r>
        <w:rPr>
          <w:rFonts w:hint="eastAsia" w:cs="新宋体"/>
          <w:b/>
          <w:bCs/>
          <w:szCs w:val="36"/>
        </w:rPr>
        <w:t>二、酒店信息：</w:t>
      </w:r>
    </w:p>
    <w:p>
      <w:pPr>
        <w:numPr>
          <w:ilvl w:val="0"/>
          <w:numId w:val="1"/>
        </w:numPr>
        <w:rPr>
          <w:rFonts w:cs="新宋体"/>
          <w:szCs w:val="36"/>
        </w:rPr>
      </w:pPr>
      <w:r>
        <w:rPr>
          <w:rFonts w:hint="eastAsia" w:cs="新宋体"/>
          <w:szCs w:val="36"/>
        </w:rPr>
        <w:t>朝阳宾馆（三星）。地址：北京市朝阳区小庄金台西路8号，距离人民日报社西门200米；电话：010-65014041；房价：标间/大床房：300元/天（含双早）</w:t>
      </w:r>
    </w:p>
    <w:p>
      <w:pPr>
        <w:numPr>
          <w:ilvl w:val="0"/>
          <w:numId w:val="1"/>
        </w:numPr>
        <w:rPr>
          <w:rFonts w:cs="新宋体"/>
          <w:szCs w:val="36"/>
        </w:rPr>
      </w:pPr>
      <w:r>
        <w:rPr>
          <w:rFonts w:hint="eastAsia" w:cs="新宋体"/>
          <w:szCs w:val="36"/>
        </w:rPr>
        <w:t>假日花园酒店（标三星、准四星）。地址：北京市朝阳区柴家湾7号（红庙路口），距离人民日报社西门1000米（会议期间有专车接送）；电话：010-65951166；房价：标间/大床房：净房价430元/天（早餐38元/位）。</w:t>
      </w:r>
    </w:p>
    <w:p>
      <w:pPr>
        <w:numPr>
          <w:ilvl w:val="0"/>
          <w:numId w:val="1"/>
        </w:numPr>
        <w:rPr>
          <w:rFonts w:cs="新宋体"/>
          <w:szCs w:val="36"/>
        </w:rPr>
      </w:pPr>
      <w:r>
        <w:rPr>
          <w:rFonts w:hint="eastAsia" w:cs="新宋体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817880</wp:posOffset>
            </wp:positionV>
            <wp:extent cx="4871085" cy="3528060"/>
            <wp:effectExtent l="0" t="0" r="5715" b="7620"/>
            <wp:wrapNone/>
            <wp:docPr id="1" name="图片 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新宋体"/>
          <w:szCs w:val="36"/>
        </w:rPr>
        <w:t>北京伯豪瑞庭酒店（五星）。地址：北京市朝阳区光华路15号，距离人民日报社西门500米；电话：010-85885588转前台；房价：标间/大床房：净房价700元/天（早餐60元/人）。</w:t>
      </w:r>
    </w:p>
    <w:p>
      <w:pPr>
        <w:ind w:firstLine="0" w:firstLineChars="0"/>
        <w:jc w:val="center"/>
        <w:rPr>
          <w:rFonts w:cs="新宋体"/>
          <w:szCs w:val="36"/>
        </w:rPr>
      </w:pPr>
      <w:r>
        <w:rPr>
          <w:rFonts w:hint="eastAsia" w:cs="新宋体"/>
          <w:szCs w:val="36"/>
        </w:rPr>
        <w:t>会场和酒店位置和交通线路示意图</w:t>
      </w:r>
    </w:p>
    <w:p>
      <w:pPr>
        <w:ind w:firstLine="0" w:firstLineChars="0"/>
        <w:rPr>
          <w:rFonts w:cs="新宋体"/>
          <w:szCs w:val="36"/>
        </w:rPr>
      </w:pPr>
    </w:p>
    <w:p>
      <w:pPr>
        <w:ind w:firstLine="0" w:firstLineChars="0"/>
        <w:rPr>
          <w:rFonts w:cs="新宋体"/>
          <w:szCs w:val="36"/>
        </w:rPr>
      </w:pPr>
    </w:p>
    <w:p>
      <w:pPr>
        <w:ind w:firstLine="0" w:firstLineChars="0"/>
        <w:rPr>
          <w:rFonts w:cs="新宋体"/>
          <w:szCs w:val="36"/>
        </w:rPr>
      </w:pPr>
    </w:p>
    <w:p>
      <w:pPr>
        <w:ind w:firstLine="0" w:firstLineChars="0"/>
        <w:rPr>
          <w:rFonts w:cs="新宋体"/>
          <w:szCs w:val="36"/>
        </w:rPr>
      </w:pPr>
    </w:p>
    <w:p>
      <w:pPr>
        <w:ind w:firstLine="0" w:firstLineChars="0"/>
        <w:rPr>
          <w:rFonts w:cs="新宋体"/>
          <w:szCs w:val="36"/>
        </w:rPr>
      </w:pPr>
    </w:p>
    <w:p>
      <w:pPr>
        <w:ind w:firstLine="0" w:firstLineChars="0"/>
        <w:rPr>
          <w:rFonts w:cs="新宋体"/>
          <w:szCs w:val="36"/>
        </w:rPr>
      </w:pPr>
    </w:p>
    <w:p>
      <w:pPr>
        <w:ind w:firstLine="0" w:firstLineChars="0"/>
        <w:rPr>
          <w:rFonts w:cs="新宋体"/>
          <w:szCs w:val="36"/>
        </w:rPr>
      </w:pPr>
    </w:p>
    <w:p>
      <w:pPr>
        <w:ind w:firstLine="0" w:firstLineChars="0"/>
        <w:rPr>
          <w:rFonts w:cs="新宋体"/>
          <w:szCs w:val="36"/>
        </w:rPr>
      </w:pPr>
    </w:p>
    <w:p>
      <w:pPr>
        <w:ind w:firstLine="0" w:firstLineChars="0"/>
        <w:rPr>
          <w:rFonts w:cs="新宋体"/>
          <w:b/>
          <w:bCs/>
          <w:szCs w:val="36"/>
        </w:rPr>
      </w:pPr>
      <w:r>
        <w:rPr>
          <w:rFonts w:hint="eastAsia" w:cs="新宋体"/>
          <w:b/>
          <w:bCs/>
          <w:szCs w:val="36"/>
        </w:rPr>
        <w:t>三、会议用餐</w:t>
      </w:r>
    </w:p>
    <w:p>
      <w:pPr>
        <w:rPr>
          <w:rFonts w:cs="新宋体"/>
          <w:szCs w:val="36"/>
        </w:rPr>
      </w:pPr>
      <w:r>
        <w:rPr>
          <w:rFonts w:hint="eastAsia" w:cs="新宋体"/>
          <w:szCs w:val="36"/>
        </w:rPr>
        <w:t>1、2017年11月16日晚上18:00-20:00在各自入住宾馆用餐（桌餐），具体时间会务组会根据客人到店时间安排用餐（信息通知）；</w:t>
      </w:r>
    </w:p>
    <w:p>
      <w:pPr>
        <w:rPr>
          <w:rFonts w:cs="新宋体"/>
          <w:szCs w:val="36"/>
        </w:rPr>
      </w:pPr>
      <w:r>
        <w:rPr>
          <w:rFonts w:hint="eastAsia" w:cs="新宋体"/>
          <w:szCs w:val="36"/>
        </w:rPr>
        <w:t>2、2017年11月17日-18早餐在入住酒店用餐；午餐在人民日报社新媒体大厦斜对面50米文贤居餐厅自助餐；11月17日晚上会议欢迎晚宴，地点：文贤居餐厅。</w:t>
      </w:r>
    </w:p>
    <w:p>
      <w:pPr>
        <w:ind w:firstLine="0" w:firstLineChars="0"/>
        <w:rPr>
          <w:rFonts w:cs="新宋体"/>
          <w:b/>
          <w:bCs/>
          <w:szCs w:val="36"/>
        </w:rPr>
      </w:pPr>
      <w:r>
        <w:rPr>
          <w:rFonts w:hint="eastAsia" w:cs="新宋体"/>
          <w:b/>
          <w:bCs/>
          <w:szCs w:val="36"/>
        </w:rPr>
        <w:t>四、乘车路线</w:t>
      </w:r>
    </w:p>
    <w:p>
      <w:pPr>
        <w:numPr>
          <w:ilvl w:val="0"/>
          <w:numId w:val="2"/>
        </w:numPr>
        <w:ind w:firstLine="562"/>
        <w:rPr>
          <w:rFonts w:cs="新宋体"/>
          <w:szCs w:val="36"/>
        </w:rPr>
      </w:pPr>
      <w:r>
        <w:rPr>
          <w:rFonts w:hint="eastAsia" w:cs="新宋体"/>
          <w:b/>
          <w:bCs/>
          <w:szCs w:val="36"/>
        </w:rPr>
        <w:t>西客站出发乘车路线：</w:t>
      </w:r>
      <w:r>
        <w:rPr>
          <w:rFonts w:hint="eastAsia" w:cs="新宋体"/>
          <w:szCs w:val="36"/>
        </w:rPr>
        <w:t>地铁7号线→地铁14号线。从北京西站乘地铁7号线（开往国家图书馆方向）→九龙山站下，换乘地铁14号线（开往善各庄方向）→大望路站下车。出地铁后步行路线：从大望路站西北口E口出站，沿西大望路往北500米，左拐沿光华路往西200米到北京伯豪瑞庭酒店；从东北口F口出站，西大望路往北600米到朝阳路，然后右拐往东100米是假日花园酒店；左拐往西200米是朝阳宾馆。</w:t>
      </w:r>
    </w:p>
    <w:p>
      <w:pPr>
        <w:numPr>
          <w:ilvl w:val="0"/>
          <w:numId w:val="2"/>
        </w:numPr>
        <w:ind w:firstLine="562"/>
        <w:rPr>
          <w:rFonts w:cs="新宋体"/>
          <w:szCs w:val="36"/>
        </w:rPr>
      </w:pPr>
      <w:r>
        <w:rPr>
          <w:rFonts w:hint="eastAsia" w:cs="新宋体"/>
          <w:b/>
          <w:bCs/>
          <w:szCs w:val="36"/>
        </w:rPr>
        <w:t>北京南站出发乘车路线：</w:t>
      </w:r>
      <w:r>
        <w:rPr>
          <w:rFonts w:hint="eastAsia" w:cs="新宋体"/>
          <w:szCs w:val="36"/>
        </w:rPr>
        <w:t>北京南站地铁14号线（开往善各庄方向）在大望路站下车（出地铁大望路站后步行路线同上）。</w:t>
      </w:r>
    </w:p>
    <w:p>
      <w:pPr>
        <w:numPr>
          <w:ilvl w:val="0"/>
          <w:numId w:val="2"/>
        </w:numPr>
        <w:ind w:firstLine="562"/>
        <w:rPr>
          <w:rFonts w:cs="新宋体"/>
          <w:szCs w:val="36"/>
        </w:rPr>
      </w:pPr>
      <w:r>
        <w:rPr>
          <w:rFonts w:hint="eastAsia" w:cs="新宋体"/>
          <w:b/>
          <w:bCs/>
          <w:szCs w:val="36"/>
        </w:rPr>
        <w:t>北京站出发乘车路线：</w:t>
      </w:r>
      <w:r>
        <w:rPr>
          <w:rFonts w:hint="eastAsia" w:cs="新宋体"/>
          <w:szCs w:val="36"/>
        </w:rPr>
        <w:t>地铁2号线→地铁1号线。从北京站乘地铁2号线（开往建国门方向）→建国门站下，换乘地铁1号线（开往四惠方向）大望路站下车（出地铁大望路站后步行路线同上）。</w:t>
      </w:r>
    </w:p>
    <w:p>
      <w:pPr>
        <w:numPr>
          <w:ilvl w:val="0"/>
          <w:numId w:val="2"/>
        </w:numPr>
        <w:ind w:firstLine="562"/>
        <w:rPr>
          <w:rFonts w:cs="新宋体"/>
          <w:szCs w:val="36"/>
        </w:rPr>
      </w:pPr>
      <w:r>
        <w:rPr>
          <w:rFonts w:hint="eastAsia" w:cs="新宋体"/>
          <w:b/>
          <w:bCs/>
          <w:szCs w:val="36"/>
        </w:rPr>
        <w:t>机场出发：</w:t>
      </w:r>
      <w:r>
        <w:rPr>
          <w:rFonts w:hint="eastAsia" w:cs="新宋体"/>
          <w:szCs w:val="36"/>
        </w:rPr>
        <w:t>地铁机场线→地铁10号线→地铁1号线。从机场地铁站上车（开往东直门方向）→三元桥站下车，换乘地铁10号线（开往金台夕照方向）到国贸站下车，换乘地铁1号线（开往四惠方向）大望路站下车（出地铁大望路站后步行路线同上）。</w:t>
      </w:r>
    </w:p>
    <w:p>
      <w:pPr>
        <w:rPr>
          <w:rFonts w:cs="新宋体"/>
          <w:szCs w:val="36"/>
        </w:rPr>
      </w:pPr>
    </w:p>
    <w:p>
      <w:pPr>
        <w:pStyle w:val="11"/>
        <w:ind w:firstLine="560"/>
        <w:rPr>
          <w:rFonts w:cs="新宋体"/>
        </w:rPr>
      </w:pPr>
    </w:p>
    <w:sectPr>
      <w:footerReference r:id="rId10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0" w:firstLineChars="0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6385" cy="30480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top:0pt;height:24pt;width:22.55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I5wJW0AAAAAMBAAAPAAAAAAAAAAEA&#10;IAAAACIAAABkcnMvZG93bnJldi54bWxQSwECFAAUAAAACACHTuJAsHLB5t4BAACzAwAADgAAAAAA&#10;AAABACAAAAAf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0" w:firstLineChars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0" w:firstLineChars="0"/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6385" cy="304800"/>
              <wp:effectExtent l="0" t="0" r="0" b="0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top:0pt;height:24pt;width:22.55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I5wJW0AAAAAMBAAAPAAAAAAAAAAEA&#10;IAAAACIAAABkcnMvZG93bnJldi54bWxQSwECFAAUAAAACACHTuJA5KWUt94BAACzAwAADgAAAAAA&#10;AAABACAAAAAf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1D076"/>
    <w:multiLevelType w:val="singleLevel"/>
    <w:tmpl w:val="59C1D07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9C22067"/>
    <w:multiLevelType w:val="singleLevel"/>
    <w:tmpl w:val="59C2206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D9B"/>
    <w:rsid w:val="000052D9"/>
    <w:rsid w:val="00007B08"/>
    <w:rsid w:val="00011E33"/>
    <w:rsid w:val="00020C58"/>
    <w:rsid w:val="00037613"/>
    <w:rsid w:val="000428B7"/>
    <w:rsid w:val="00046B42"/>
    <w:rsid w:val="00051533"/>
    <w:rsid w:val="00057502"/>
    <w:rsid w:val="00061E7D"/>
    <w:rsid w:val="000624CD"/>
    <w:rsid w:val="0006376C"/>
    <w:rsid w:val="000645C9"/>
    <w:rsid w:val="000645E1"/>
    <w:rsid w:val="00066972"/>
    <w:rsid w:val="000673FD"/>
    <w:rsid w:val="0007273A"/>
    <w:rsid w:val="00076589"/>
    <w:rsid w:val="00086CB5"/>
    <w:rsid w:val="00087E60"/>
    <w:rsid w:val="00093213"/>
    <w:rsid w:val="0009322E"/>
    <w:rsid w:val="00095448"/>
    <w:rsid w:val="000B4346"/>
    <w:rsid w:val="000C4447"/>
    <w:rsid w:val="000D07CE"/>
    <w:rsid w:val="000D2498"/>
    <w:rsid w:val="000E2535"/>
    <w:rsid w:val="000F46C6"/>
    <w:rsid w:val="000F77C7"/>
    <w:rsid w:val="0011709D"/>
    <w:rsid w:val="00137B38"/>
    <w:rsid w:val="001471B5"/>
    <w:rsid w:val="00150143"/>
    <w:rsid w:val="00153F0F"/>
    <w:rsid w:val="001632D5"/>
    <w:rsid w:val="001660D2"/>
    <w:rsid w:val="00166353"/>
    <w:rsid w:val="00177C9B"/>
    <w:rsid w:val="00182F93"/>
    <w:rsid w:val="001A2F6E"/>
    <w:rsid w:val="001B1C05"/>
    <w:rsid w:val="001B1E58"/>
    <w:rsid w:val="001C0F92"/>
    <w:rsid w:val="001C3088"/>
    <w:rsid w:val="001D1F8C"/>
    <w:rsid w:val="001D7359"/>
    <w:rsid w:val="001E0D77"/>
    <w:rsid w:val="001E7980"/>
    <w:rsid w:val="0020244F"/>
    <w:rsid w:val="00213843"/>
    <w:rsid w:val="002179E7"/>
    <w:rsid w:val="002207F3"/>
    <w:rsid w:val="002224E9"/>
    <w:rsid w:val="00231B93"/>
    <w:rsid w:val="00256898"/>
    <w:rsid w:val="0025713B"/>
    <w:rsid w:val="002578C0"/>
    <w:rsid w:val="0027283B"/>
    <w:rsid w:val="0027655A"/>
    <w:rsid w:val="00277969"/>
    <w:rsid w:val="00280AFD"/>
    <w:rsid w:val="002815CF"/>
    <w:rsid w:val="00281EA8"/>
    <w:rsid w:val="002876AE"/>
    <w:rsid w:val="002A250C"/>
    <w:rsid w:val="002B2466"/>
    <w:rsid w:val="002B7071"/>
    <w:rsid w:val="002C76F0"/>
    <w:rsid w:val="002D2369"/>
    <w:rsid w:val="002D5961"/>
    <w:rsid w:val="002E0B4F"/>
    <w:rsid w:val="002E3BA3"/>
    <w:rsid w:val="002E5DBB"/>
    <w:rsid w:val="002F3A74"/>
    <w:rsid w:val="0030336D"/>
    <w:rsid w:val="00303533"/>
    <w:rsid w:val="00307DFE"/>
    <w:rsid w:val="003207BB"/>
    <w:rsid w:val="00331475"/>
    <w:rsid w:val="003316F4"/>
    <w:rsid w:val="00342206"/>
    <w:rsid w:val="0034403E"/>
    <w:rsid w:val="003525AE"/>
    <w:rsid w:val="00356826"/>
    <w:rsid w:val="00360924"/>
    <w:rsid w:val="003639B7"/>
    <w:rsid w:val="00364CAC"/>
    <w:rsid w:val="00382342"/>
    <w:rsid w:val="00383865"/>
    <w:rsid w:val="0038740F"/>
    <w:rsid w:val="00392C88"/>
    <w:rsid w:val="003942A9"/>
    <w:rsid w:val="00395DF8"/>
    <w:rsid w:val="00396F53"/>
    <w:rsid w:val="003A3D43"/>
    <w:rsid w:val="003A6A0C"/>
    <w:rsid w:val="003B143A"/>
    <w:rsid w:val="003B4030"/>
    <w:rsid w:val="003B4766"/>
    <w:rsid w:val="003B7B59"/>
    <w:rsid w:val="003C083A"/>
    <w:rsid w:val="003C3DD3"/>
    <w:rsid w:val="003C79F4"/>
    <w:rsid w:val="003D162D"/>
    <w:rsid w:val="003D4184"/>
    <w:rsid w:val="003E0892"/>
    <w:rsid w:val="003E5302"/>
    <w:rsid w:val="003E5D9B"/>
    <w:rsid w:val="003F4AA7"/>
    <w:rsid w:val="0041480A"/>
    <w:rsid w:val="0042389B"/>
    <w:rsid w:val="00432B2D"/>
    <w:rsid w:val="00432B35"/>
    <w:rsid w:val="00443D8D"/>
    <w:rsid w:val="0045158B"/>
    <w:rsid w:val="00454949"/>
    <w:rsid w:val="0046312E"/>
    <w:rsid w:val="004650D7"/>
    <w:rsid w:val="0046525C"/>
    <w:rsid w:val="004731C4"/>
    <w:rsid w:val="00485DB8"/>
    <w:rsid w:val="0049267E"/>
    <w:rsid w:val="00495433"/>
    <w:rsid w:val="004A723C"/>
    <w:rsid w:val="004C6305"/>
    <w:rsid w:val="004D0DB4"/>
    <w:rsid w:val="004D2BCD"/>
    <w:rsid w:val="004D3A79"/>
    <w:rsid w:val="004E0700"/>
    <w:rsid w:val="004F4D1D"/>
    <w:rsid w:val="004F6CC4"/>
    <w:rsid w:val="00502185"/>
    <w:rsid w:val="00503C05"/>
    <w:rsid w:val="00515362"/>
    <w:rsid w:val="00523792"/>
    <w:rsid w:val="00540D50"/>
    <w:rsid w:val="005422FD"/>
    <w:rsid w:val="00565F38"/>
    <w:rsid w:val="005660B4"/>
    <w:rsid w:val="00572BD3"/>
    <w:rsid w:val="005A1BF4"/>
    <w:rsid w:val="005A2E50"/>
    <w:rsid w:val="005A544E"/>
    <w:rsid w:val="005A7E68"/>
    <w:rsid w:val="005B558C"/>
    <w:rsid w:val="005B71EB"/>
    <w:rsid w:val="005D2D34"/>
    <w:rsid w:val="005E7A36"/>
    <w:rsid w:val="005E7BF0"/>
    <w:rsid w:val="005F4E84"/>
    <w:rsid w:val="006138AC"/>
    <w:rsid w:val="0062282F"/>
    <w:rsid w:val="00626015"/>
    <w:rsid w:val="00633687"/>
    <w:rsid w:val="00635136"/>
    <w:rsid w:val="006514BB"/>
    <w:rsid w:val="006655BE"/>
    <w:rsid w:val="006729CA"/>
    <w:rsid w:val="00673A0D"/>
    <w:rsid w:val="00674625"/>
    <w:rsid w:val="00681745"/>
    <w:rsid w:val="0068434E"/>
    <w:rsid w:val="00686953"/>
    <w:rsid w:val="006B2F02"/>
    <w:rsid w:val="006B350D"/>
    <w:rsid w:val="006B4D9F"/>
    <w:rsid w:val="006B7B4C"/>
    <w:rsid w:val="006D06F2"/>
    <w:rsid w:val="006D5573"/>
    <w:rsid w:val="006F5E20"/>
    <w:rsid w:val="006F7C70"/>
    <w:rsid w:val="007041DD"/>
    <w:rsid w:val="007278B8"/>
    <w:rsid w:val="007411DA"/>
    <w:rsid w:val="007428BC"/>
    <w:rsid w:val="00777C23"/>
    <w:rsid w:val="00782611"/>
    <w:rsid w:val="00782732"/>
    <w:rsid w:val="00783395"/>
    <w:rsid w:val="00790063"/>
    <w:rsid w:val="007907E2"/>
    <w:rsid w:val="007941EC"/>
    <w:rsid w:val="007A00E2"/>
    <w:rsid w:val="007A1A13"/>
    <w:rsid w:val="007A2AC0"/>
    <w:rsid w:val="007A72E8"/>
    <w:rsid w:val="007B2A72"/>
    <w:rsid w:val="007B4DDC"/>
    <w:rsid w:val="007C2A22"/>
    <w:rsid w:val="007C3C26"/>
    <w:rsid w:val="007C4937"/>
    <w:rsid w:val="007C4EED"/>
    <w:rsid w:val="007E2D0C"/>
    <w:rsid w:val="007E4101"/>
    <w:rsid w:val="007E55CE"/>
    <w:rsid w:val="007F4922"/>
    <w:rsid w:val="007F5011"/>
    <w:rsid w:val="008072E4"/>
    <w:rsid w:val="00816636"/>
    <w:rsid w:val="00817B19"/>
    <w:rsid w:val="00820D5A"/>
    <w:rsid w:val="00823D67"/>
    <w:rsid w:val="008302A6"/>
    <w:rsid w:val="00837644"/>
    <w:rsid w:val="00837757"/>
    <w:rsid w:val="00840105"/>
    <w:rsid w:val="00844DA2"/>
    <w:rsid w:val="00845A9B"/>
    <w:rsid w:val="00857959"/>
    <w:rsid w:val="00861331"/>
    <w:rsid w:val="00864787"/>
    <w:rsid w:val="00872CE0"/>
    <w:rsid w:val="008900DB"/>
    <w:rsid w:val="008972F0"/>
    <w:rsid w:val="008A2F96"/>
    <w:rsid w:val="008B179E"/>
    <w:rsid w:val="008B7337"/>
    <w:rsid w:val="008C0077"/>
    <w:rsid w:val="008D09B2"/>
    <w:rsid w:val="008D2F46"/>
    <w:rsid w:val="008E0C32"/>
    <w:rsid w:val="008E3900"/>
    <w:rsid w:val="008E5316"/>
    <w:rsid w:val="008E5B2B"/>
    <w:rsid w:val="008F2D26"/>
    <w:rsid w:val="008F5297"/>
    <w:rsid w:val="00921C23"/>
    <w:rsid w:val="00927C3B"/>
    <w:rsid w:val="0094617C"/>
    <w:rsid w:val="0094639D"/>
    <w:rsid w:val="00955C4D"/>
    <w:rsid w:val="00963104"/>
    <w:rsid w:val="0097141A"/>
    <w:rsid w:val="009736F0"/>
    <w:rsid w:val="00981201"/>
    <w:rsid w:val="009818D7"/>
    <w:rsid w:val="00982076"/>
    <w:rsid w:val="0099265E"/>
    <w:rsid w:val="009A4B74"/>
    <w:rsid w:val="009E0E93"/>
    <w:rsid w:val="009E44C6"/>
    <w:rsid w:val="009E73DD"/>
    <w:rsid w:val="009F0D03"/>
    <w:rsid w:val="009F5113"/>
    <w:rsid w:val="00A04562"/>
    <w:rsid w:val="00A0504B"/>
    <w:rsid w:val="00A17E17"/>
    <w:rsid w:val="00A220CB"/>
    <w:rsid w:val="00A24274"/>
    <w:rsid w:val="00A25FFA"/>
    <w:rsid w:val="00A37A65"/>
    <w:rsid w:val="00A41955"/>
    <w:rsid w:val="00A4536F"/>
    <w:rsid w:val="00A67B70"/>
    <w:rsid w:val="00A766CC"/>
    <w:rsid w:val="00A90343"/>
    <w:rsid w:val="00A926C9"/>
    <w:rsid w:val="00AA49B0"/>
    <w:rsid w:val="00AA78E9"/>
    <w:rsid w:val="00AB4809"/>
    <w:rsid w:val="00AC0968"/>
    <w:rsid w:val="00AC3AA0"/>
    <w:rsid w:val="00AD3E4D"/>
    <w:rsid w:val="00AE12F4"/>
    <w:rsid w:val="00AF1E0C"/>
    <w:rsid w:val="00B0391C"/>
    <w:rsid w:val="00B06EEE"/>
    <w:rsid w:val="00B40C84"/>
    <w:rsid w:val="00B42CB7"/>
    <w:rsid w:val="00B46126"/>
    <w:rsid w:val="00B51943"/>
    <w:rsid w:val="00B56201"/>
    <w:rsid w:val="00B70BD6"/>
    <w:rsid w:val="00B97145"/>
    <w:rsid w:val="00BB1FAC"/>
    <w:rsid w:val="00BC4254"/>
    <w:rsid w:val="00BC4429"/>
    <w:rsid w:val="00BD16DC"/>
    <w:rsid w:val="00BD29EB"/>
    <w:rsid w:val="00BE26BC"/>
    <w:rsid w:val="00BE6438"/>
    <w:rsid w:val="00BF198D"/>
    <w:rsid w:val="00BF4A0E"/>
    <w:rsid w:val="00BF585A"/>
    <w:rsid w:val="00BF7AAB"/>
    <w:rsid w:val="00C12D5F"/>
    <w:rsid w:val="00C174D1"/>
    <w:rsid w:val="00C37455"/>
    <w:rsid w:val="00C40BCD"/>
    <w:rsid w:val="00C41B6E"/>
    <w:rsid w:val="00C528F3"/>
    <w:rsid w:val="00C53499"/>
    <w:rsid w:val="00C5365A"/>
    <w:rsid w:val="00C5409A"/>
    <w:rsid w:val="00C62072"/>
    <w:rsid w:val="00C66850"/>
    <w:rsid w:val="00C70AC8"/>
    <w:rsid w:val="00C71C74"/>
    <w:rsid w:val="00C74591"/>
    <w:rsid w:val="00C75302"/>
    <w:rsid w:val="00C8739E"/>
    <w:rsid w:val="00CC3ED5"/>
    <w:rsid w:val="00CD194D"/>
    <w:rsid w:val="00CD5521"/>
    <w:rsid w:val="00CE160E"/>
    <w:rsid w:val="00CE7293"/>
    <w:rsid w:val="00CF23F3"/>
    <w:rsid w:val="00CF3DA4"/>
    <w:rsid w:val="00D0345B"/>
    <w:rsid w:val="00D03DF6"/>
    <w:rsid w:val="00D1162D"/>
    <w:rsid w:val="00D238BC"/>
    <w:rsid w:val="00D318C7"/>
    <w:rsid w:val="00D33B45"/>
    <w:rsid w:val="00D530B9"/>
    <w:rsid w:val="00D62E76"/>
    <w:rsid w:val="00D63A15"/>
    <w:rsid w:val="00D71EC3"/>
    <w:rsid w:val="00D72233"/>
    <w:rsid w:val="00D730B7"/>
    <w:rsid w:val="00D75006"/>
    <w:rsid w:val="00D857D9"/>
    <w:rsid w:val="00D867EA"/>
    <w:rsid w:val="00D9456F"/>
    <w:rsid w:val="00D948FF"/>
    <w:rsid w:val="00D954A3"/>
    <w:rsid w:val="00D973CB"/>
    <w:rsid w:val="00DA07CC"/>
    <w:rsid w:val="00DA2273"/>
    <w:rsid w:val="00DA3DCC"/>
    <w:rsid w:val="00DA4310"/>
    <w:rsid w:val="00DA504A"/>
    <w:rsid w:val="00DB204C"/>
    <w:rsid w:val="00DC0444"/>
    <w:rsid w:val="00DE1179"/>
    <w:rsid w:val="00DE313A"/>
    <w:rsid w:val="00DE4E01"/>
    <w:rsid w:val="00DE7F01"/>
    <w:rsid w:val="00DF3DC7"/>
    <w:rsid w:val="00E00AC5"/>
    <w:rsid w:val="00E01536"/>
    <w:rsid w:val="00E10726"/>
    <w:rsid w:val="00E21C12"/>
    <w:rsid w:val="00E25031"/>
    <w:rsid w:val="00E5037B"/>
    <w:rsid w:val="00E51F44"/>
    <w:rsid w:val="00E5425A"/>
    <w:rsid w:val="00E761BF"/>
    <w:rsid w:val="00E841BA"/>
    <w:rsid w:val="00E85C5E"/>
    <w:rsid w:val="00E91F19"/>
    <w:rsid w:val="00E9477A"/>
    <w:rsid w:val="00EA571F"/>
    <w:rsid w:val="00EA68D8"/>
    <w:rsid w:val="00EC4184"/>
    <w:rsid w:val="00EC5942"/>
    <w:rsid w:val="00EC6595"/>
    <w:rsid w:val="00EC6819"/>
    <w:rsid w:val="00ED22AA"/>
    <w:rsid w:val="00EE3342"/>
    <w:rsid w:val="00EF45DE"/>
    <w:rsid w:val="00F02BE1"/>
    <w:rsid w:val="00F15F7F"/>
    <w:rsid w:val="00F3172D"/>
    <w:rsid w:val="00F31CE0"/>
    <w:rsid w:val="00F4416A"/>
    <w:rsid w:val="00F45F29"/>
    <w:rsid w:val="00F507B8"/>
    <w:rsid w:val="00F51964"/>
    <w:rsid w:val="00F60909"/>
    <w:rsid w:val="00F77109"/>
    <w:rsid w:val="00F77A8D"/>
    <w:rsid w:val="00F80524"/>
    <w:rsid w:val="00F84969"/>
    <w:rsid w:val="00F9329F"/>
    <w:rsid w:val="00FC0754"/>
    <w:rsid w:val="00FC1AF9"/>
    <w:rsid w:val="00FC71B1"/>
    <w:rsid w:val="00FD25C2"/>
    <w:rsid w:val="00FD6EA1"/>
    <w:rsid w:val="00FD7509"/>
    <w:rsid w:val="00FF75BF"/>
    <w:rsid w:val="018E4D8B"/>
    <w:rsid w:val="02313BC3"/>
    <w:rsid w:val="071F3DB1"/>
    <w:rsid w:val="0C1A46E3"/>
    <w:rsid w:val="0DF50570"/>
    <w:rsid w:val="0E22601B"/>
    <w:rsid w:val="0F100EBD"/>
    <w:rsid w:val="11531EE0"/>
    <w:rsid w:val="11870B19"/>
    <w:rsid w:val="127724D3"/>
    <w:rsid w:val="142B39F0"/>
    <w:rsid w:val="16307E48"/>
    <w:rsid w:val="17891A34"/>
    <w:rsid w:val="19A60ED7"/>
    <w:rsid w:val="1C05785A"/>
    <w:rsid w:val="1F0E0818"/>
    <w:rsid w:val="1FF26772"/>
    <w:rsid w:val="20531CEF"/>
    <w:rsid w:val="20587175"/>
    <w:rsid w:val="2246623C"/>
    <w:rsid w:val="28BF7E39"/>
    <w:rsid w:val="2980457D"/>
    <w:rsid w:val="2C860402"/>
    <w:rsid w:val="2D0D4980"/>
    <w:rsid w:val="2DB51EB2"/>
    <w:rsid w:val="2DE454CE"/>
    <w:rsid w:val="2F625486"/>
    <w:rsid w:val="2FDC4077"/>
    <w:rsid w:val="2FF375B3"/>
    <w:rsid w:val="333675EE"/>
    <w:rsid w:val="377A7EF7"/>
    <w:rsid w:val="38A73420"/>
    <w:rsid w:val="38E52A39"/>
    <w:rsid w:val="393F56E2"/>
    <w:rsid w:val="3ECA54E8"/>
    <w:rsid w:val="42305D9E"/>
    <w:rsid w:val="45001CFA"/>
    <w:rsid w:val="4B3749C0"/>
    <w:rsid w:val="4D183C83"/>
    <w:rsid w:val="4E65070B"/>
    <w:rsid w:val="4F9D0DFE"/>
    <w:rsid w:val="50685F5B"/>
    <w:rsid w:val="51E0513F"/>
    <w:rsid w:val="5299494A"/>
    <w:rsid w:val="5AE0575C"/>
    <w:rsid w:val="5B0B3A98"/>
    <w:rsid w:val="62CA2DC7"/>
    <w:rsid w:val="669B7B9E"/>
    <w:rsid w:val="6AA519EA"/>
    <w:rsid w:val="6E9566B5"/>
    <w:rsid w:val="6E9C6B6B"/>
    <w:rsid w:val="6FA257FE"/>
    <w:rsid w:val="739F7077"/>
    <w:rsid w:val="757229F4"/>
    <w:rsid w:val="77610C5A"/>
    <w:rsid w:val="7AA32452"/>
    <w:rsid w:val="7B803A55"/>
    <w:rsid w:val="7BBD33F8"/>
    <w:rsid w:val="7D6B7EE6"/>
    <w:rsid w:val="7F430536"/>
    <w:rsid w:val="7FD5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80" w:lineRule="exact"/>
      <w:ind w:firstLine="560" w:firstLineChars="200"/>
      <w:jc w:val="both"/>
    </w:pPr>
    <w:rPr>
      <w:rFonts w:ascii="新宋体" w:hAnsi="新宋体" w:eastAsia="新宋体" w:cstheme="minorBidi"/>
      <w:kern w:val="2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6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1">
    <w:name w:val="列出段落1"/>
    <w:basedOn w:val="1"/>
    <w:qFormat/>
    <w:uiPriority w:val="34"/>
    <w:pPr>
      <w:ind w:firstLine="420"/>
    </w:pPr>
  </w:style>
  <w:style w:type="paragraph" w:customStyle="1" w:styleId="12">
    <w:name w:val="列出段落2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782</Words>
  <Characters>4460</Characters>
  <Lines>37</Lines>
  <Paragraphs>10</Paragraphs>
  <ScaleCrop>false</ScaleCrop>
  <LinksUpToDate>false</LinksUpToDate>
  <CharactersWithSpaces>5232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2017-10-11T00:34:00Z</dcterms:created>
  <dc:creator>Windows 用户</dc:creator>
  <cp:lastModifiedBy>HH</cp:lastModifiedBy>
  <dcterms:modified xsi:type="dcterms:W3CDTF">2017-10-18T05:52:41Z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